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exact"/>
        <w:rPr>
          <w:rFonts w:ascii="Arial" w:hAnsi="Arial" w:cs="Arial"/>
          <w:b/>
          <w:color w:val="005BAC"/>
          <w:sz w:val="36"/>
          <w:szCs w:val="36"/>
        </w:rPr>
      </w:pPr>
    </w:p>
    <w:p>
      <w:pPr>
        <w:spacing w:line="0" w:lineRule="atLeast"/>
        <w:rPr>
          <w:rFonts w:ascii="Arial" w:hAnsi="Arial" w:cs="Arial"/>
          <w:b/>
          <w:color w:val="C9142A"/>
          <w:sz w:val="36"/>
          <w:szCs w:val="36"/>
        </w:rPr>
      </w:pPr>
      <w:r>
        <w:rPr>
          <w:rFonts w:hint="eastAsia" w:ascii="Arial" w:hAnsi="Arial" w:cs="Arial"/>
          <w:b/>
          <w:color w:val="C9142A"/>
          <w:sz w:val="36"/>
          <w:szCs w:val="36"/>
        </w:rPr>
        <w:t>INJET6000G</w:t>
      </w:r>
    </w:p>
    <w:p>
      <w:pPr>
        <w:spacing w:line="320" w:lineRule="exact"/>
        <w:rPr>
          <w:rFonts w:ascii="微软雅黑" w:hAnsi="微软雅黑" w:eastAsia="微软雅黑" w:cs="Arial"/>
          <w:b/>
          <w:color w:val="C9142A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C9142A"/>
          <w:sz w:val="24"/>
          <w:szCs w:val="24"/>
        </w:rPr>
        <w:t>高显色瓷白车身贴</w:t>
      </w:r>
    </w:p>
    <w:p>
      <w:pPr>
        <w:spacing w:line="320" w:lineRule="exact"/>
        <w:rPr>
          <w:rFonts w:hint="eastAsia" w:ascii="Tahoma" w:hAnsi="Tahoma" w:cs="Tahoma"/>
          <w:szCs w:val="21"/>
        </w:rPr>
      </w:pPr>
    </w:p>
    <w:p>
      <w:pPr>
        <w:pStyle w:val="11"/>
        <w:rPr>
          <w:rFonts w:ascii="微软雅黑" w:hAnsi="微软雅黑" w:eastAsia="微软雅黑" w:cstheme="minorBidi"/>
          <w:b/>
          <w:color w:val="C00000"/>
          <w:kern w:val="2"/>
        </w:rPr>
      </w:pPr>
      <w:r>
        <w:rPr>
          <w:rFonts w:hint="eastAsia" w:ascii="微软雅黑" w:hAnsi="微软雅黑" w:eastAsia="微软雅黑" w:cstheme="minorBidi"/>
          <w:b/>
          <w:color w:val="C00000"/>
          <w:kern w:val="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143510</wp:posOffset>
            </wp:positionV>
            <wp:extent cx="150495" cy="150495"/>
            <wp:effectExtent l="0" t="0" r="1905" b="1905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theme="minorBidi"/>
          <w:b/>
          <w:color w:val="C00000"/>
          <w:kern w:val="2"/>
        </w:rPr>
        <w:t>产品描述：</w:t>
      </w:r>
    </w:p>
    <w:p>
      <w:pPr>
        <w:rPr>
          <w:rFonts w:ascii="微软雅黑" w:hAnsi="微软雅黑" w:eastAsia="微软雅黑"/>
          <w:sz w:val="18"/>
        </w:rPr>
      </w:pPr>
      <w:r>
        <w:rPr>
          <w:rFonts w:hint="eastAsia" w:ascii="微软雅黑" w:hAnsi="微软雅黑" w:eastAsia="微软雅黑"/>
          <w:sz w:val="18"/>
        </w:rPr>
        <w:t>面膜：</w:t>
      </w:r>
      <w:r>
        <w:rPr>
          <w:rFonts w:hint="eastAsia" w:ascii="微软雅黑" w:hAnsi="微软雅黑" w:eastAsia="微软雅黑"/>
          <w:sz w:val="18"/>
          <w:lang w:val="en-US" w:eastAsia="zh-CN"/>
        </w:rPr>
        <w:t>100</w:t>
      </w:r>
      <w:r>
        <w:rPr>
          <w:rFonts w:hint="eastAsia" w:ascii="微软雅黑" w:hAnsi="微软雅黑" w:eastAsia="微软雅黑"/>
          <w:sz w:val="18"/>
        </w:rPr>
        <w:t xml:space="preserve">micron </w:t>
      </w:r>
      <w:r>
        <w:rPr>
          <w:rFonts w:hint="eastAsia" w:ascii="微软雅黑" w:hAnsi="微软雅黑" w:eastAsia="微软雅黑"/>
          <w:sz w:val="18"/>
          <w:lang w:val="en-US" w:eastAsia="zh-CN"/>
        </w:rPr>
        <w:t>瓷白</w:t>
      </w:r>
      <w:r>
        <w:rPr>
          <w:rFonts w:hint="eastAsia" w:ascii="微软雅黑" w:hAnsi="微软雅黑" w:eastAsia="微软雅黑"/>
          <w:sz w:val="18"/>
        </w:rPr>
        <w:t>PVC光膜；</w:t>
      </w:r>
    </w:p>
    <w:p>
      <w:pPr>
        <w:rPr>
          <w:rFonts w:ascii="微软雅黑" w:hAnsi="微软雅黑" w:eastAsia="微软雅黑"/>
          <w:sz w:val="18"/>
        </w:rPr>
      </w:pPr>
      <w:r>
        <w:rPr>
          <w:rFonts w:hint="eastAsia" w:ascii="微软雅黑" w:hAnsi="微软雅黑" w:eastAsia="微软雅黑"/>
          <w:sz w:val="18"/>
        </w:rPr>
        <w:t>胶水：</w:t>
      </w:r>
      <w:r>
        <w:rPr>
          <w:rFonts w:hint="eastAsia" w:ascii="微软雅黑" w:hAnsi="微软雅黑" w:eastAsia="微软雅黑"/>
          <w:color w:val="000000" w:themeColor="text1"/>
          <w:sz w:val="18"/>
          <w14:textFill>
            <w14:solidFill>
              <w14:schemeClr w14:val="tx1"/>
            </w14:solidFill>
          </w14:textFill>
        </w:rPr>
        <w:t>永久性透明胶；</w:t>
      </w:r>
    </w:p>
    <w:p>
      <w:pPr>
        <w:rPr>
          <w:rFonts w:ascii="微软雅黑" w:hAnsi="微软雅黑" w:eastAsia="微软雅黑"/>
          <w:sz w:val="18"/>
        </w:rPr>
      </w:pPr>
      <w:r>
        <w:rPr>
          <w:rFonts w:hint="eastAsia" w:ascii="微软雅黑" w:hAnsi="微软雅黑" w:eastAsia="微软雅黑"/>
          <w:sz w:val="18"/>
        </w:rPr>
        <w:t>底纸：1</w:t>
      </w:r>
      <w:r>
        <w:rPr>
          <w:rFonts w:hint="eastAsia" w:ascii="微软雅黑" w:hAnsi="微软雅黑" w:eastAsia="微软雅黑"/>
          <w:sz w:val="18"/>
          <w:lang w:val="en-US" w:eastAsia="zh-CN"/>
        </w:rPr>
        <w:t>2</w:t>
      </w:r>
      <w:r>
        <w:rPr>
          <w:rFonts w:hint="eastAsia" w:ascii="微软雅黑" w:hAnsi="微软雅黑" w:eastAsia="微软雅黑"/>
          <w:sz w:val="18"/>
        </w:rPr>
        <w:t>0gsm</w:t>
      </w:r>
      <w:r>
        <w:rPr>
          <w:rFonts w:hint="eastAsia" w:ascii="微软雅黑" w:hAnsi="微软雅黑" w:eastAsia="微软雅黑"/>
          <w:sz w:val="18"/>
          <w:lang w:val="en-US" w:eastAsia="zh-CN"/>
        </w:rPr>
        <w:t xml:space="preserve">  CCK</w:t>
      </w:r>
      <w:r>
        <w:rPr>
          <w:rFonts w:hint="eastAsia" w:ascii="微软雅黑" w:hAnsi="微软雅黑" w:eastAsia="微软雅黑"/>
          <w:sz w:val="18"/>
        </w:rPr>
        <w:t>硅纸</w:t>
      </w:r>
    </w:p>
    <w:p>
      <w:pPr>
        <w:rPr>
          <w:rFonts w:ascii="微软雅黑" w:hAnsi="微软雅黑" w:eastAsia="微软雅黑"/>
          <w:color w:val="000000" w:themeColor="text1"/>
          <w:sz w:val="20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sz w:val="18"/>
        </w:rPr>
        <w:t>宽幅：1.06/1.27/1.37/1.52m</w:t>
      </w:r>
    </w:p>
    <w:p>
      <w:pPr>
        <w:pStyle w:val="11"/>
        <w:rPr>
          <w:rFonts w:ascii="微软雅黑" w:hAnsi="微软雅黑" w:eastAsia="微软雅黑" w:cstheme="minorBidi"/>
          <w:b/>
          <w:color w:val="C00000"/>
          <w:kern w:val="2"/>
        </w:rPr>
      </w:pPr>
      <w:r>
        <w:rPr>
          <w:rFonts w:hint="eastAsia" w:ascii="微软雅黑" w:hAnsi="微软雅黑" w:eastAsia="微软雅黑" w:cstheme="minorBidi"/>
          <w:b/>
          <w:color w:val="C00000"/>
          <w:kern w:val="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140335</wp:posOffset>
            </wp:positionV>
            <wp:extent cx="150495" cy="150495"/>
            <wp:effectExtent l="0" t="0" r="1905" b="1905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theme="minorBidi"/>
          <w:b/>
          <w:color w:val="C00000"/>
          <w:kern w:val="2"/>
        </w:rPr>
        <w:t xml:space="preserve">产品特点： </w:t>
      </w:r>
    </w:p>
    <w:p>
      <w:pPr>
        <w:autoSpaceDE w:val="0"/>
        <w:autoSpaceDN w:val="0"/>
        <w:adjustRightInd w:val="0"/>
        <w:jc w:val="left"/>
        <w:rPr>
          <w:rFonts w:ascii="微软雅黑" w:hAnsi="微软雅黑" w:eastAsia="微软雅黑" w:cs="Tahoma"/>
          <w:kern w:val="0"/>
          <w:sz w:val="18"/>
          <w:szCs w:val="16"/>
        </w:rPr>
      </w:pPr>
      <w:r>
        <w:rPr>
          <w:rFonts w:hint="eastAsia" w:ascii="微软雅黑" w:hAnsi="微软雅黑" w:eastAsia="微软雅黑" w:cs="Tahoma"/>
          <w:kern w:val="0"/>
          <w:sz w:val="18"/>
          <w:szCs w:val="16"/>
        </w:rPr>
        <w:t>1、产品高显色性，色彩还原度高，面膜颜色适合欧洲风格；</w:t>
      </w:r>
    </w:p>
    <w:p>
      <w:pPr>
        <w:autoSpaceDE w:val="0"/>
        <w:autoSpaceDN w:val="0"/>
        <w:adjustRightInd w:val="0"/>
        <w:jc w:val="left"/>
        <w:rPr>
          <w:rFonts w:ascii="微软雅黑" w:hAnsi="微软雅黑" w:eastAsia="微软雅黑" w:cs="Tahoma"/>
          <w:kern w:val="0"/>
          <w:sz w:val="18"/>
          <w:szCs w:val="16"/>
        </w:rPr>
      </w:pPr>
      <w:bookmarkStart w:id="0" w:name="OLE_LINK1"/>
      <w:bookmarkStart w:id="1" w:name="OLE_LINK3"/>
      <w:bookmarkStart w:id="2" w:name="OLE_LINK6"/>
      <w:bookmarkStart w:id="3" w:name="OLE_LINK5"/>
      <w:bookmarkStart w:id="4" w:name="OLE_LINK4"/>
      <w:bookmarkStart w:id="5" w:name="OLE_LINK2"/>
      <w:r>
        <w:rPr>
          <w:rFonts w:hint="eastAsia" w:ascii="微软雅黑" w:hAnsi="微软雅黑" w:eastAsia="微软雅黑" w:cs="Tahoma"/>
          <w:kern w:val="0"/>
          <w:sz w:val="18"/>
          <w:szCs w:val="16"/>
        </w:rPr>
        <w:t>2、</w:t>
      </w:r>
      <w:r>
        <w:rPr>
          <w:rFonts w:ascii="微软雅黑" w:hAnsi="微软雅黑" w:eastAsia="微软雅黑" w:cs="Tahoma"/>
          <w:kern w:val="0"/>
          <w:sz w:val="18"/>
          <w:szCs w:val="16"/>
        </w:rPr>
        <w:t>产品吸墨稳定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="微软雅黑" w:hAnsi="微软雅黑" w:eastAsia="微软雅黑" w:cs="Tahoma"/>
          <w:kern w:val="0"/>
          <w:sz w:val="18"/>
          <w:szCs w:val="16"/>
        </w:rPr>
        <w:t>，耐候性好，尺寸稳定性好；</w:t>
      </w:r>
    </w:p>
    <w:p>
      <w:pPr>
        <w:autoSpaceDE w:val="0"/>
        <w:autoSpaceDN w:val="0"/>
        <w:adjustRightInd w:val="0"/>
        <w:jc w:val="left"/>
        <w:rPr>
          <w:rFonts w:ascii="微软雅黑" w:hAnsi="微软雅黑" w:eastAsia="微软雅黑" w:cs="Tahoma"/>
          <w:kern w:val="0"/>
          <w:sz w:val="18"/>
          <w:szCs w:val="16"/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高岭土涂布纸、防水、防潮，打印不起供</w:t>
      </w:r>
      <w:r>
        <w:rPr>
          <w:rFonts w:hint="eastAsia" w:ascii="微软雅黑" w:hAnsi="微软雅黑" w:eastAsia="微软雅黑" w:cs="Tahoma"/>
          <w:kern w:val="0"/>
          <w:sz w:val="18"/>
          <w:szCs w:val="16"/>
        </w:rPr>
        <w:t>。</w:t>
      </w:r>
    </w:p>
    <w:p>
      <w:pPr>
        <w:autoSpaceDE w:val="0"/>
        <w:autoSpaceDN w:val="0"/>
        <w:adjustRightInd w:val="0"/>
        <w:jc w:val="left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C00000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151130</wp:posOffset>
            </wp:positionV>
            <wp:extent cx="150495" cy="150495"/>
            <wp:effectExtent l="0" t="0" r="1905" b="1905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color w:val="C00000"/>
          <w:sz w:val="24"/>
          <w:szCs w:val="24"/>
        </w:rPr>
        <w:t>产品应用：</w:t>
      </w:r>
      <w:r>
        <w:rPr>
          <w:rFonts w:hint="eastAsia" w:ascii="微软雅黑" w:hAnsi="微软雅黑" w:eastAsia="微软雅黑"/>
          <w:b/>
          <w:color w:val="C00000"/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适用于车身广告及装饰、板材应用、室内及室外广告。</w:t>
      </w:r>
    </w:p>
    <w:p>
      <w:pPr>
        <w:autoSpaceDE w:val="0"/>
        <w:autoSpaceDN w:val="0"/>
        <w:adjustRightInd w:val="0"/>
        <w:jc w:val="left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本产品适用于各种溶剂型、弱溶剂型和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UV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墨水喷印方式。</w:t>
      </w:r>
    </w:p>
    <w:p>
      <w:pPr>
        <w:pStyle w:val="11"/>
        <w:rPr>
          <w:rFonts w:ascii="微软雅黑" w:hAnsi="微软雅黑" w:eastAsia="微软雅黑" w:cstheme="minorBidi"/>
          <w:b/>
          <w:color w:val="C00000"/>
          <w:kern w:val="2"/>
        </w:rPr>
      </w:pPr>
      <w:r>
        <w:rPr>
          <w:rFonts w:hint="eastAsia" w:ascii="微软雅黑" w:hAnsi="微软雅黑" w:eastAsia="微软雅黑" w:cstheme="minorBidi"/>
          <w:b/>
          <w:color w:val="C00000"/>
          <w:kern w:val="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138430</wp:posOffset>
            </wp:positionV>
            <wp:extent cx="150495" cy="150495"/>
            <wp:effectExtent l="0" t="0" r="1905" b="1905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theme="minorBidi"/>
          <w:b/>
          <w:color w:val="C00000"/>
          <w:kern w:val="2"/>
        </w:rPr>
        <w:t xml:space="preserve">技术参数： </w:t>
      </w:r>
      <w:bookmarkStart w:id="7" w:name="_GoBack"/>
      <w:bookmarkEnd w:id="7"/>
    </w:p>
    <w:p>
      <w:pPr>
        <w:tabs>
          <w:tab w:val="left" w:pos="9529"/>
          <w:tab w:val="left" w:pos="9792"/>
          <w:tab w:val="right" w:pos="10466"/>
        </w:tabs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测试条件：室内温度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23±2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℃、相对湿度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50±5%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，以铝板、玻璃、钢板作为基材测试。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ab/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ab/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ab/>
      </w:r>
    </w:p>
    <w:tbl>
      <w:tblPr>
        <w:tblStyle w:val="10"/>
        <w:tblW w:w="6866" w:type="dxa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1157"/>
        <w:gridCol w:w="2050"/>
        <w:gridCol w:w="1580"/>
      </w:tblGrid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207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</w:tcPr>
          <w:p>
            <w:pPr>
              <w:spacing w:before="0" w:beforeLines="0" w:beforeAutospacing="0" w:after="0" w:afterLines="0" w:afterAutospacing="0" w:line="240" w:lineRule="auto"/>
              <w:ind w:firstLine="320"/>
              <w:rPr>
                <w:rFonts w:ascii="Tahoma" w:hAnsi="Tahoma" w:eastAsia="宋体" w:cs="Tahoma"/>
                <w:b w:val="0"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</w:rPr>
              <w:t>指标</w:t>
            </w:r>
          </w:p>
        </w:tc>
        <w:tc>
          <w:tcPr>
            <w:tcW w:w="1157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 w:val="0"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</w:rPr>
              <w:t>单位</w:t>
            </w:r>
          </w:p>
        </w:tc>
        <w:tc>
          <w:tcPr>
            <w:tcW w:w="2050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 w:val="0"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</w:rPr>
              <w:t>测试方法</w:t>
            </w:r>
          </w:p>
        </w:tc>
        <w:tc>
          <w:tcPr>
            <w:tcW w:w="1580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 w:val="0"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</w:rPr>
              <w:t>标准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</w:trPr>
        <w:tc>
          <w:tcPr>
            <w:tcW w:w="207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PVC 膜厚度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底纸克重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成品重量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光泽度 60°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初粘力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24h，180°剥离力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尺寸稳定性MD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尺寸稳定性CD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拉伸强度 MD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拉伸强度 CD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施工温度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适用温度</w:t>
            </w:r>
          </w:p>
        </w:tc>
        <w:tc>
          <w:tcPr>
            <w:tcW w:w="115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icron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g/m²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g/m²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%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 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 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8"/>
              </w:rPr>
              <w:t>℃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8"/>
              </w:rPr>
              <w:t>℃</w:t>
            </w:r>
          </w:p>
        </w:tc>
        <w:tc>
          <w:tcPr>
            <w:tcW w:w="205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GB/T6672-2001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GB4669-1995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GB4669-1995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GB8807-88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9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1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14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14   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GB/T1040.1-2006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GB/T1040.1-2006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58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±10</w:t>
            </w:r>
          </w:p>
          <w:p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±10</w:t>
            </w:r>
          </w:p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±20</w:t>
            </w:r>
          </w:p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  <w:p>
            <w:pP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>
            <w:pP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rPr>
                <w:rFonts w:hint="eastAsia"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≤1.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>
            <w:pPr>
              <w:rPr>
                <w:rFonts w:hint="eastAsia"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-20～+70</w:t>
            </w:r>
          </w:p>
        </w:tc>
      </w:tr>
    </w:tbl>
    <w:p>
      <w:pPr>
        <w:tabs>
          <w:tab w:val="center" w:pos="1301"/>
        </w:tabs>
        <w:rPr>
          <w:b/>
          <w:color w:val="000000" w:themeColor="text1"/>
          <w:sz w:val="1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16"/>
          <w14:textFill>
            <w14:solidFill>
              <w14:schemeClr w14:val="tx1"/>
            </w14:solidFill>
          </w14:textFill>
        </w:rPr>
        <w:t>*以上所有参数的变更恕不另行通知</w:t>
      </w:r>
    </w:p>
    <w:p>
      <w:pPr>
        <w:tabs>
          <w:tab w:val="center" w:pos="1301"/>
        </w:tabs>
        <w:rPr>
          <w:b/>
          <w:color w:val="000000" w:themeColor="text1"/>
          <w:sz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C00000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125095</wp:posOffset>
            </wp:positionV>
            <wp:extent cx="150495" cy="150495"/>
            <wp:effectExtent l="0" t="0" r="1905" b="1905"/>
            <wp:wrapSquare wrapText="bothSides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color w:val="C00000"/>
          <w:sz w:val="24"/>
          <w:szCs w:val="24"/>
        </w:rPr>
        <w:t>仓储条件：</w:t>
      </w:r>
      <w:r>
        <w:rPr>
          <w:rFonts w:hint="eastAsia" w:ascii="微软雅黑" w:hAnsi="微软雅黑" w:eastAsia="微软雅黑"/>
          <w:b/>
          <w:color w:val="C00000"/>
        </w:rPr>
        <w:t xml:space="preserve"> 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所有</w:t>
      </w:r>
      <w:r>
        <w:rPr>
          <w:rFonts w:hint="eastAsia" w:ascii="微软雅黑" w:hAnsi="微软雅黑" w:eastAsia="微软雅黑" w:cstheme="minorHAns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INFLEX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的产品需储放在原始包装中用原始的保护材料，建议密封保存，水平放置，叠放层高不宜超过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层，避免阳光直射、热源直接接触。仓储温度</w:t>
      </w:r>
      <w:r>
        <w:rPr>
          <w:rFonts w:ascii="微软雅黑" w:hAnsi="微软雅黑" w:eastAsia="微软雅黑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25±5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℃、相对湿度</w:t>
      </w:r>
      <w:r>
        <w:rPr>
          <w:rFonts w:ascii="微软雅黑" w:hAnsi="微软雅黑" w:eastAsia="微软雅黑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50±15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。在这种条件下，该产品储存期是12个月。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pStyle w:val="11"/>
        <w:rPr>
          <w:rFonts w:ascii="微软雅黑" w:hAnsi="微软雅黑" w:eastAsia="微软雅黑" w:cstheme="minorBidi"/>
          <w:b/>
          <w:color w:val="C00000"/>
          <w:kern w:val="2"/>
        </w:rPr>
      </w:pPr>
      <w:r>
        <w:rPr>
          <w:rFonts w:hint="eastAsia" w:ascii="微软雅黑" w:hAnsi="微软雅黑" w:eastAsia="微软雅黑" w:cstheme="minorBidi"/>
          <w:b/>
          <w:color w:val="C00000"/>
          <w:kern w:val="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126365</wp:posOffset>
            </wp:positionV>
            <wp:extent cx="150495" cy="150495"/>
            <wp:effectExtent l="0" t="0" r="1905" b="1905"/>
            <wp:wrapSquare wrapText="bothSides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theme="minorBidi"/>
          <w:b/>
          <w:color w:val="C00000"/>
          <w:kern w:val="2"/>
        </w:rPr>
        <w:t xml:space="preserve">打印制作要求： </w:t>
      </w:r>
    </w:p>
    <w:p>
      <w:pPr>
        <w:pStyle w:val="11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制作环境：</w:t>
      </w:r>
      <w:r>
        <w:rPr>
          <w:rFonts w:hint="eastAsia" w:ascii="微软雅黑" w:hAnsi="微软雅黑" w:eastAsia="微软雅黑" w:cstheme="minorHAns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INFLEX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产品建议在温度</w:t>
      </w:r>
      <w:r>
        <w:rPr>
          <w:rFonts w:ascii="微软雅黑" w:hAnsi="微软雅黑" w:eastAsia="微软雅黑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25±5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℃，相对湿度为</w:t>
      </w:r>
      <w:r>
        <w:rPr>
          <w:rFonts w:ascii="微软雅黑" w:hAnsi="微软雅黑" w:eastAsia="微软雅黑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50±10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%，洁净无尘、无悬浮物的环境下使用；建议产品需提前24h从仓储环境转移至喷绘环境。墨水因匹配的设备不同，所以使用前请先测试；建议喷绘时需要留足够白边空隙。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张贴要求：</w:t>
      </w:r>
      <w:r>
        <w:rPr>
          <w:rFonts w:ascii="微软雅黑" w:hAnsi="微软雅黑" w:eastAsia="微软雅黑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20±10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℃，相对湿度为</w:t>
      </w:r>
      <w:r>
        <w:rPr>
          <w:rFonts w:ascii="微软雅黑" w:hAnsi="微软雅黑" w:eastAsia="微软雅黑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50±10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；粘贴于平整、光滑、洁净、表面无浮尘、表皮无脱落的物体表面，贴合必要养护时间需要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小时以上。</w:t>
      </w:r>
    </w:p>
    <w:p>
      <w:pPr>
        <w:pStyle w:val="11"/>
        <w:rPr>
          <w:rFonts w:ascii="微软雅黑" w:hAnsi="微软雅黑" w:eastAsia="微软雅黑" w:cstheme="minorBidi"/>
          <w:b/>
          <w:color w:val="C00000"/>
          <w:kern w:val="2"/>
        </w:rPr>
      </w:pPr>
      <w:r>
        <w:rPr>
          <w:rFonts w:hint="eastAsia" w:ascii="微软雅黑" w:hAnsi="微软雅黑" w:eastAsia="微软雅黑" w:cstheme="minorBidi"/>
          <w:b/>
          <w:color w:val="C00000"/>
          <w:kern w:val="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128905</wp:posOffset>
            </wp:positionV>
            <wp:extent cx="150495" cy="150495"/>
            <wp:effectExtent l="0" t="0" r="1905" b="1905"/>
            <wp:wrapSquare wrapText="bothSides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theme="minorBidi"/>
          <w:b/>
          <w:color w:val="C00000"/>
          <w:kern w:val="2"/>
        </w:rPr>
        <w:t xml:space="preserve">质保条件： 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存储期：在原始的包装中储存期限为1年；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使用期限：未打印画面，自产品生产日期起2年内有效，逾期不接受投诉。</w:t>
      </w:r>
    </w:p>
    <w:p>
      <w:pPr>
        <w:pStyle w:val="11"/>
        <w:rPr>
          <w:rFonts w:ascii="微软雅黑" w:hAnsi="微软雅黑" w:eastAsia="微软雅黑" w:cstheme="minorBidi"/>
          <w:b/>
          <w:color w:val="C00000"/>
          <w:kern w:val="2"/>
        </w:rPr>
      </w:pPr>
      <w:r>
        <w:rPr>
          <w:rFonts w:hint="eastAsia" w:ascii="微软雅黑" w:hAnsi="微软雅黑" w:eastAsia="微软雅黑" w:cstheme="minorBidi"/>
          <w:b/>
          <w:color w:val="C00000"/>
          <w:kern w:val="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131445</wp:posOffset>
            </wp:positionV>
            <wp:extent cx="150495" cy="150495"/>
            <wp:effectExtent l="0" t="0" r="1905" b="1905"/>
            <wp:wrapSquare wrapText="bothSides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theme="minorBidi"/>
          <w:b/>
          <w:color w:val="C00000"/>
          <w:kern w:val="2"/>
        </w:rPr>
        <w:t xml:space="preserve">重要备注： 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INFLEX所有有关材料的说明、技术信息及应用推荐是基于我们认为可信的典型性测试结果，</w:t>
      </w:r>
      <w:bookmarkStart w:id="6" w:name="OLE_LINK14"/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不同国家、地区环境湿度高于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70%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以上喷绘打印效果有所下降。</w:t>
      </w:r>
      <w:bookmarkEnd w:id="6"/>
    </w:p>
    <w:p>
      <w:pPr>
        <w:autoSpaceDE w:val="0"/>
        <w:autoSpaceDN w:val="0"/>
        <w:jc w:val="left"/>
        <w:rPr>
          <w:rFonts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本产品为永久胶车贴，不同背贴介质和户外张贴时间的长短会有残胶的风险。不同批次产品不建议拼接</w:t>
      </w:r>
      <w:r>
        <w:rPr>
          <w:rFonts w:hint="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ascii="微软雅黑" w:hAnsi="微软雅黑" w:eastAsia="微软雅黑"/>
          <w:b/>
          <w:color w:val="C00000"/>
          <w:sz w:val="24"/>
          <w:szCs w:val="24"/>
        </w:rPr>
      </w:pPr>
      <w:r>
        <w:rPr>
          <w:rFonts w:hint="eastAsia" w:ascii="微软雅黑" w:hAnsi="微软雅黑" w:eastAsia="微软雅黑"/>
          <w:b/>
          <w:color w:val="C0000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29845</wp:posOffset>
            </wp:positionH>
            <wp:positionV relativeFrom="paragraph">
              <wp:posOffset>120650</wp:posOffset>
            </wp:positionV>
            <wp:extent cx="150495" cy="150495"/>
            <wp:effectExtent l="0" t="0" r="1905" b="190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color w:val="C00000"/>
          <w:sz w:val="24"/>
          <w:szCs w:val="24"/>
        </w:rPr>
        <w:t>产品应用：</w:t>
      </w:r>
    </w:p>
    <w:p>
      <w:pPr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6575425" cy="429260"/>
          <wp:effectExtent l="0" t="0" r="0" b="8890"/>
          <wp:docPr id="2" name="图片 2" descr="C:\Users\N2098\Desktop\4e682e7c5336c4ccabb588c6d73406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N2098\Desktop\4e682e7c5336c4ccabb588c6d73406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5425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6745906" o:spid="_x0000_s2075" o:spt="75" type="#_x0000_t75" style="position:absolute;left:0pt;height:107.65pt;width:523.1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INFLEX-LOGO-01"/>
          <o:lock v:ext="edit" aspectratio="t"/>
        </v:shape>
      </w:pict>
    </w:r>
    <w:r>
      <w:rPr>
        <w:rFonts w:hint="eastAsia"/>
      </w:rPr>
      <w:t xml:space="preserve">  </w:t>
    </w:r>
    <w:r>
      <w:drawing>
        <wp:inline distT="0" distB="0" distL="0" distR="0">
          <wp:extent cx="6592570" cy="7874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2837" cy="79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6745905" o:spid="_x0000_s2074" o:spt="75" type="#_x0000_t75" style="position:absolute;left:0pt;height:107.65pt;width:523.1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INFLEX-LOGO-0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6745904" o:spid="_x0000_s2073" o:spt="75" type="#_x0000_t75" style="position:absolute;left:0pt;height:107.65pt;width:523.1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INFLEX-LOGO-01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1FB"/>
    <w:rsid w:val="000017CA"/>
    <w:rsid w:val="00086ED7"/>
    <w:rsid w:val="000E2AA6"/>
    <w:rsid w:val="000E3C3F"/>
    <w:rsid w:val="000F0436"/>
    <w:rsid w:val="0011184F"/>
    <w:rsid w:val="00157367"/>
    <w:rsid w:val="00171EB9"/>
    <w:rsid w:val="00190B31"/>
    <w:rsid w:val="0021323A"/>
    <w:rsid w:val="00322832"/>
    <w:rsid w:val="00396D75"/>
    <w:rsid w:val="003A20C0"/>
    <w:rsid w:val="003A4E31"/>
    <w:rsid w:val="003E3B8F"/>
    <w:rsid w:val="00466487"/>
    <w:rsid w:val="00470DA9"/>
    <w:rsid w:val="004A16C2"/>
    <w:rsid w:val="00513DB2"/>
    <w:rsid w:val="005D09AA"/>
    <w:rsid w:val="005F0BF2"/>
    <w:rsid w:val="00606373"/>
    <w:rsid w:val="006113DB"/>
    <w:rsid w:val="00621927"/>
    <w:rsid w:val="006F5DCE"/>
    <w:rsid w:val="007763FD"/>
    <w:rsid w:val="007E72E9"/>
    <w:rsid w:val="007F1C8F"/>
    <w:rsid w:val="007F6058"/>
    <w:rsid w:val="00816DD7"/>
    <w:rsid w:val="008201E7"/>
    <w:rsid w:val="008872C3"/>
    <w:rsid w:val="008A5C0F"/>
    <w:rsid w:val="008B09D7"/>
    <w:rsid w:val="008C011F"/>
    <w:rsid w:val="008C5602"/>
    <w:rsid w:val="008E2276"/>
    <w:rsid w:val="00947073"/>
    <w:rsid w:val="00953E43"/>
    <w:rsid w:val="00AB1E91"/>
    <w:rsid w:val="00AB7425"/>
    <w:rsid w:val="00AF792A"/>
    <w:rsid w:val="00B02D39"/>
    <w:rsid w:val="00B30435"/>
    <w:rsid w:val="00B64846"/>
    <w:rsid w:val="00B664E2"/>
    <w:rsid w:val="00B85DDF"/>
    <w:rsid w:val="00BD321A"/>
    <w:rsid w:val="00BF01FE"/>
    <w:rsid w:val="00C261BF"/>
    <w:rsid w:val="00C41B8F"/>
    <w:rsid w:val="00C46C6B"/>
    <w:rsid w:val="00C46E52"/>
    <w:rsid w:val="00CB3F6C"/>
    <w:rsid w:val="00D05D15"/>
    <w:rsid w:val="00D13ADC"/>
    <w:rsid w:val="00D806DF"/>
    <w:rsid w:val="00DD5808"/>
    <w:rsid w:val="00E07306"/>
    <w:rsid w:val="00E61E9A"/>
    <w:rsid w:val="00E67D0D"/>
    <w:rsid w:val="00E861FB"/>
    <w:rsid w:val="00EC5463"/>
    <w:rsid w:val="00ED1022"/>
    <w:rsid w:val="00EF627B"/>
    <w:rsid w:val="00EF6676"/>
    <w:rsid w:val="00F016AF"/>
    <w:rsid w:val="00F50525"/>
    <w:rsid w:val="00F5329B"/>
    <w:rsid w:val="00F92AFA"/>
    <w:rsid w:val="00F92B70"/>
    <w:rsid w:val="00FC01DB"/>
    <w:rsid w:val="00FC496A"/>
    <w:rsid w:val="00FD327B"/>
    <w:rsid w:val="2B9459DB"/>
    <w:rsid w:val="31016969"/>
    <w:rsid w:val="3FEA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  <w:style w:type="table" w:customStyle="1" w:styleId="10">
    <w:name w:val="浅色底纹1"/>
    <w:basedOn w:val="5"/>
    <w:qFormat/>
    <w:uiPriority w:val="60"/>
    <w:rPr>
      <w:rFonts w:ascii="Times New Roman" w:hAnsi="Times New Roman" w:eastAsia="宋体" w:cs="Times New Roman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75"/>
    <customShpInfo spid="_x0000_s2074"/>
    <customShpInfo spid="_x0000_s2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7669FA-CE64-4BCA-ACD6-DB91F300BF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1016</Characters>
  <Lines>8</Lines>
  <Paragraphs>2</Paragraphs>
  <TotalTime>96</TotalTime>
  <ScaleCrop>false</ScaleCrop>
  <LinksUpToDate>false</LinksUpToDate>
  <CharactersWithSpaces>1192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2018-10-16T03:26:00Z</dcterms:created>
  <dc:creator>Qin Yu-秦超(NAR)</dc:creator>
  <cp:lastModifiedBy>波波</cp:lastModifiedBy>
  <cp:lastPrinted>2018-08-20T01:40:00Z</cp:lastPrinted>
  <dcterms:modified xsi:type="dcterms:W3CDTF">2022-03-14T01:47:50Z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A980A845F34F4580958360444540F946</vt:lpwstr>
  </property>
</Properties>
</file>